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9AF4" w14:textId="4156A322" w:rsidR="00515453" w:rsidRPr="00515453" w:rsidRDefault="00515453" w:rsidP="00883484">
      <w:pPr>
        <w:pStyle w:val="ListParagraph"/>
        <w:numPr>
          <w:ilvl w:val="0"/>
          <w:numId w:val="1"/>
        </w:numPr>
        <w:rPr>
          <w:b/>
          <w:bCs/>
        </w:rPr>
      </w:pPr>
      <w:r w:rsidRPr="00515453">
        <w:rPr>
          <w:b/>
          <w:bCs/>
        </w:rPr>
        <w:t>Where is the full RFP for ESG 12 CARES located?</w:t>
      </w:r>
      <w:r w:rsidR="00883484" w:rsidRPr="00515453">
        <w:rPr>
          <w:b/>
          <w:bCs/>
        </w:rPr>
        <w:t xml:space="preserve"> </w:t>
      </w:r>
    </w:p>
    <w:p w14:paraId="33BD2419" w14:textId="1A450CBF" w:rsidR="00515453" w:rsidRDefault="00515453" w:rsidP="00515453">
      <w:pPr>
        <w:ind w:left="360"/>
      </w:pPr>
      <w:r w:rsidRPr="00515453">
        <w:t xml:space="preserve">The </w:t>
      </w:r>
      <w:r w:rsidR="00F31348">
        <w:t xml:space="preserve">ESG 12 CARES </w:t>
      </w:r>
      <w:r w:rsidRPr="00515453">
        <w:t xml:space="preserve">RFP can be found by visiting ACAM’s website: </w:t>
      </w:r>
      <w:hyperlink r:id="rId7" w:history="1">
        <w:r w:rsidRPr="00F12456">
          <w:rPr>
            <w:rStyle w:val="Hyperlink"/>
          </w:rPr>
          <w:t>https://acamweb.org/funding-vendor-opportunities/</w:t>
        </w:r>
      </w:hyperlink>
      <w:r w:rsidRPr="00515453">
        <w:t>.</w:t>
      </w:r>
    </w:p>
    <w:p w14:paraId="29A4E463" w14:textId="2F2293F4" w:rsidR="00883484" w:rsidRPr="00515453" w:rsidRDefault="00515453" w:rsidP="00883484">
      <w:pPr>
        <w:pStyle w:val="ListParagraph"/>
        <w:numPr>
          <w:ilvl w:val="0"/>
          <w:numId w:val="1"/>
        </w:numPr>
        <w:rPr>
          <w:b/>
          <w:bCs/>
        </w:rPr>
      </w:pPr>
      <w:r w:rsidRPr="00515453">
        <w:rPr>
          <w:b/>
          <w:bCs/>
        </w:rPr>
        <w:t xml:space="preserve">Is this RFP </w:t>
      </w:r>
      <w:r w:rsidR="00883484" w:rsidRPr="00515453">
        <w:rPr>
          <w:b/>
          <w:bCs/>
        </w:rPr>
        <w:t>similar to the ESG</w:t>
      </w:r>
      <w:r w:rsidRPr="00515453">
        <w:rPr>
          <w:b/>
          <w:bCs/>
        </w:rPr>
        <w:t xml:space="preserve"> 12</w:t>
      </w:r>
      <w:r w:rsidR="00883484" w:rsidRPr="00515453">
        <w:rPr>
          <w:b/>
          <w:bCs/>
        </w:rPr>
        <w:t xml:space="preserve"> Cares request that was made available in </w:t>
      </w:r>
      <w:r w:rsidR="002275E7">
        <w:rPr>
          <w:b/>
          <w:bCs/>
        </w:rPr>
        <w:t>December</w:t>
      </w:r>
      <w:r w:rsidRPr="00515453">
        <w:rPr>
          <w:b/>
          <w:bCs/>
        </w:rPr>
        <w:t xml:space="preserve"> 2020</w:t>
      </w:r>
      <w:r w:rsidR="00883484" w:rsidRPr="00515453">
        <w:rPr>
          <w:b/>
          <w:bCs/>
        </w:rPr>
        <w:t>?</w:t>
      </w:r>
    </w:p>
    <w:p w14:paraId="673540C1" w14:textId="429D886B" w:rsidR="001534F4" w:rsidRDefault="001534F4" w:rsidP="002275E7">
      <w:pPr>
        <w:spacing w:after="0"/>
        <w:ind w:left="360"/>
      </w:pPr>
      <w:r w:rsidRPr="001534F4">
        <w:t>Alliance of Community Assistance Ministries, Inc (“ACAM”) seeks additional qualified contractor(s)</w:t>
      </w:r>
      <w:r w:rsidR="009123C6">
        <w:t xml:space="preserve"> for ESG 12 CARES</w:t>
      </w:r>
      <w:r w:rsidR="002275E7">
        <w:t>.</w:t>
      </w:r>
      <w:r w:rsidR="00515453">
        <w:t xml:space="preserve"> </w:t>
      </w:r>
    </w:p>
    <w:p w14:paraId="17B378BD" w14:textId="77777777" w:rsidR="002275E7" w:rsidRDefault="002275E7" w:rsidP="002275E7">
      <w:pPr>
        <w:spacing w:after="0"/>
        <w:ind w:left="360"/>
      </w:pPr>
    </w:p>
    <w:p w14:paraId="5D1C3CBB" w14:textId="6464C7D6" w:rsidR="0094254D" w:rsidRPr="00C46CE0" w:rsidRDefault="003A70E7" w:rsidP="003A70E7">
      <w:pPr>
        <w:pStyle w:val="ListParagraph"/>
        <w:numPr>
          <w:ilvl w:val="0"/>
          <w:numId w:val="1"/>
        </w:numPr>
        <w:rPr>
          <w:b/>
          <w:bCs/>
        </w:rPr>
      </w:pPr>
      <w:r w:rsidRPr="00C46CE0">
        <w:rPr>
          <w:b/>
          <w:bCs/>
        </w:rPr>
        <w:t xml:space="preserve">If we have already received </w:t>
      </w:r>
      <w:r w:rsidR="00C46CE0" w:rsidRPr="00C46CE0">
        <w:rPr>
          <w:b/>
          <w:bCs/>
        </w:rPr>
        <w:t xml:space="preserve">ESG </w:t>
      </w:r>
      <w:r w:rsidRPr="00C46CE0">
        <w:rPr>
          <w:b/>
          <w:bCs/>
        </w:rPr>
        <w:t xml:space="preserve">CARES (2) HP </w:t>
      </w:r>
      <w:r w:rsidR="00C46CE0" w:rsidRPr="00C46CE0">
        <w:rPr>
          <w:b/>
          <w:bCs/>
        </w:rPr>
        <w:t>funding,</w:t>
      </w:r>
      <w:r w:rsidRPr="00C46CE0">
        <w:rPr>
          <w:b/>
          <w:bCs/>
        </w:rPr>
        <w:t xml:space="preserve"> are we allowed to </w:t>
      </w:r>
      <w:r w:rsidR="00C46CE0" w:rsidRPr="00C46CE0">
        <w:rPr>
          <w:b/>
          <w:bCs/>
        </w:rPr>
        <w:t>submit a proposal</w:t>
      </w:r>
      <w:r w:rsidRPr="00C46CE0">
        <w:rPr>
          <w:b/>
          <w:bCs/>
        </w:rPr>
        <w:t xml:space="preserve"> for ACAM</w:t>
      </w:r>
      <w:r w:rsidR="00C46CE0" w:rsidRPr="00C46CE0">
        <w:rPr>
          <w:b/>
          <w:bCs/>
        </w:rPr>
        <w:t>’s ESG 12 CARES RFP</w:t>
      </w:r>
      <w:r w:rsidRPr="00C46CE0">
        <w:rPr>
          <w:b/>
          <w:bCs/>
        </w:rPr>
        <w:t>?</w:t>
      </w:r>
    </w:p>
    <w:p w14:paraId="53E1440E" w14:textId="6FACC94C" w:rsidR="003A70E7" w:rsidRDefault="00C46CE0" w:rsidP="00FC79B2">
      <w:pPr>
        <w:ind w:left="360"/>
      </w:pPr>
      <w:r>
        <w:t>Your organization may apply if you have already received CARES (2) funding.</w:t>
      </w:r>
      <w:r w:rsidR="00FC79B2">
        <w:t xml:space="preserve"> If you currently have a contract with ACAM ESG 12 CARES, please contact ACAM to see if you </w:t>
      </w:r>
      <w:r w:rsidR="00C336F6">
        <w:t xml:space="preserve">may </w:t>
      </w:r>
      <w:r w:rsidR="00FC79B2">
        <w:t xml:space="preserve">qualify for an amendment to your contract. </w:t>
      </w:r>
    </w:p>
    <w:p w14:paraId="6FF1CE59" w14:textId="5BD07C59" w:rsidR="003A70E7" w:rsidRPr="00852442" w:rsidRDefault="003A70E7" w:rsidP="003A70E7">
      <w:pPr>
        <w:pStyle w:val="ListParagraph"/>
        <w:numPr>
          <w:ilvl w:val="0"/>
          <w:numId w:val="1"/>
        </w:numPr>
        <w:rPr>
          <w:b/>
          <w:bCs/>
        </w:rPr>
      </w:pPr>
      <w:r w:rsidRPr="00852442">
        <w:rPr>
          <w:b/>
          <w:bCs/>
        </w:rPr>
        <w:t>What is the max amount of money for this contract?</w:t>
      </w:r>
    </w:p>
    <w:p w14:paraId="683F5A24" w14:textId="42807D98" w:rsidR="003A70E7" w:rsidRDefault="00852442" w:rsidP="00852442">
      <w:pPr>
        <w:ind w:firstLine="360"/>
      </w:pPr>
      <w:r>
        <w:t xml:space="preserve">The </w:t>
      </w:r>
      <w:r w:rsidR="00FC79B2">
        <w:t xml:space="preserve">estimated available is </w:t>
      </w:r>
      <w:r w:rsidR="003A70E7">
        <w:t>approximately $300,000</w:t>
      </w:r>
      <w:r>
        <w:t>.</w:t>
      </w:r>
    </w:p>
    <w:p w14:paraId="14C19A38" w14:textId="30873A9A" w:rsidR="00C56869" w:rsidRPr="00852442" w:rsidRDefault="00852442" w:rsidP="00C56869">
      <w:pPr>
        <w:pStyle w:val="ListParagraph"/>
        <w:numPr>
          <w:ilvl w:val="0"/>
          <w:numId w:val="1"/>
        </w:numPr>
        <w:rPr>
          <w:b/>
          <w:bCs/>
        </w:rPr>
      </w:pPr>
      <w:r w:rsidRPr="00852442">
        <w:rPr>
          <w:b/>
          <w:bCs/>
        </w:rPr>
        <w:t>Are</w:t>
      </w:r>
      <w:r w:rsidR="00C56869" w:rsidRPr="00852442">
        <w:rPr>
          <w:b/>
          <w:bCs/>
        </w:rPr>
        <w:t xml:space="preserve"> the target number</w:t>
      </w:r>
      <w:r w:rsidR="009123C6">
        <w:rPr>
          <w:b/>
          <w:bCs/>
        </w:rPr>
        <w:t>s</w:t>
      </w:r>
      <w:r w:rsidR="00C56869" w:rsidRPr="00852442">
        <w:rPr>
          <w:b/>
          <w:bCs/>
        </w:rPr>
        <w:t xml:space="preserve"> 36 households or 36 individuals (approximately 12 Households)?</w:t>
      </w:r>
    </w:p>
    <w:p w14:paraId="6FA6DAC1" w14:textId="7BF762F8" w:rsidR="00C56869" w:rsidRDefault="00852442" w:rsidP="00852442">
      <w:pPr>
        <w:ind w:left="360"/>
      </w:pPr>
      <w:r>
        <w:t>The target is to s</w:t>
      </w:r>
      <w:r w:rsidR="00C56869" w:rsidRPr="00C56869">
        <w:t>erve a minimum of 36 people at imminent risk of homelessness (please see page 3 of RFP). Household size might vary based on the average size of households your organization serve.</w:t>
      </w:r>
    </w:p>
    <w:p w14:paraId="558FA3BD" w14:textId="633C7DBA" w:rsidR="00062226" w:rsidRPr="00852442" w:rsidRDefault="00852442" w:rsidP="00062226">
      <w:pPr>
        <w:pStyle w:val="ListParagraph"/>
        <w:numPr>
          <w:ilvl w:val="0"/>
          <w:numId w:val="1"/>
        </w:numPr>
        <w:rPr>
          <w:b/>
          <w:bCs/>
        </w:rPr>
      </w:pPr>
      <w:r w:rsidRPr="00852442">
        <w:rPr>
          <w:b/>
          <w:bCs/>
        </w:rPr>
        <w:t>What are the categories in the budget?</w:t>
      </w:r>
      <w:r w:rsidR="00062226" w:rsidRPr="00852442">
        <w:rPr>
          <w:b/>
          <w:bCs/>
        </w:rPr>
        <w:t xml:space="preserve"> </w:t>
      </w:r>
    </w:p>
    <w:p w14:paraId="549379D9" w14:textId="0494AD3D" w:rsidR="00062226" w:rsidRDefault="00852442" w:rsidP="00852442">
      <w:pPr>
        <w:ind w:firstLine="360"/>
      </w:pPr>
      <w:r>
        <w:t xml:space="preserve">Please see </w:t>
      </w:r>
      <w:r w:rsidR="00062226">
        <w:t xml:space="preserve">Budget </w:t>
      </w:r>
      <w:r>
        <w:t>Summary</w:t>
      </w:r>
      <w:r w:rsidR="009123C6">
        <w:t xml:space="preserve"> Section H</w:t>
      </w:r>
      <w:r w:rsidR="00062226">
        <w:t xml:space="preserve"> </w:t>
      </w:r>
      <w:r>
        <w:t>in</w:t>
      </w:r>
      <w:r w:rsidR="00062226">
        <w:t xml:space="preserve"> the RFP on page 7 &amp; 8</w:t>
      </w:r>
      <w:r>
        <w:t xml:space="preserve"> and below</w:t>
      </w:r>
      <w:r w:rsidR="00062226">
        <w:t>.</w:t>
      </w:r>
    </w:p>
    <w:p w14:paraId="458C80F7" w14:textId="77777777" w:rsidR="00062226" w:rsidRDefault="00062226" w:rsidP="00062226">
      <w:pPr>
        <w:pStyle w:val="BodyText"/>
        <w:numPr>
          <w:ilvl w:val="0"/>
          <w:numId w:val="2"/>
        </w:numPr>
        <w:spacing w:line="245" w:lineRule="exact"/>
      </w:pPr>
      <w:r>
        <w:t>BUDGET</w:t>
      </w:r>
      <w:r>
        <w:rPr>
          <w:spacing w:val="39"/>
        </w:rPr>
        <w:t xml:space="preserve"> </w:t>
      </w:r>
      <w:r>
        <w:rPr>
          <w:spacing w:val="-1"/>
        </w:rPr>
        <w:t>SUMM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Y</w:t>
      </w:r>
    </w:p>
    <w:p w14:paraId="3A3C7074" w14:textId="77777777" w:rsidR="00062226" w:rsidRDefault="00062226" w:rsidP="00062226">
      <w:pPr>
        <w:pStyle w:val="BodyText"/>
        <w:spacing w:line="245" w:lineRule="exact"/>
        <w:ind w:left="1980"/>
      </w:pPr>
    </w:p>
    <w:p w14:paraId="3BB2DB1F" w14:textId="77777777" w:rsidR="00062226" w:rsidRDefault="00062226" w:rsidP="00062226">
      <w:pPr>
        <w:pStyle w:val="BodyText"/>
        <w:spacing w:before="12"/>
        <w:ind w:left="1980" w:right="150"/>
      </w:pPr>
      <w:r>
        <w:t>Complete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budget</w:t>
      </w:r>
      <w:r>
        <w:rPr>
          <w:spacing w:val="10"/>
        </w:rPr>
        <w:t xml:space="preserve"> </w:t>
      </w:r>
      <w:r>
        <w:rPr>
          <w:spacing w:val="-1"/>
        </w:rPr>
        <w:t>narrative.</w:t>
      </w:r>
      <w:r>
        <w:rPr>
          <w:spacing w:val="13"/>
        </w:rPr>
        <w:t xml:space="preserve"> </w:t>
      </w:r>
      <w:r>
        <w:t>(See</w:t>
      </w:r>
      <w:r>
        <w:rPr>
          <w:spacing w:val="8"/>
        </w:rPr>
        <w:t xml:space="preserve"> </w:t>
      </w:r>
      <w:r>
        <w:t>24</w:t>
      </w:r>
      <w:r>
        <w:rPr>
          <w:spacing w:val="13"/>
        </w:rPr>
        <w:t xml:space="preserve"> </w:t>
      </w:r>
      <w:r>
        <w:t>CFR</w:t>
      </w:r>
      <w:r>
        <w:rPr>
          <w:spacing w:val="10"/>
        </w:rPr>
        <w:t xml:space="preserve"> </w:t>
      </w:r>
      <w:r>
        <w:t>576.103,</w:t>
      </w:r>
      <w:r>
        <w:rPr>
          <w:spacing w:val="20"/>
        </w:rPr>
        <w:t xml:space="preserve"> </w:t>
      </w:r>
      <w:r>
        <w:t>576.105,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576.106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576.107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category</w:t>
      </w:r>
      <w:r>
        <w:rPr>
          <w:spacing w:val="-9"/>
        </w:rPr>
        <w:t xml:space="preserve"> </w:t>
      </w:r>
      <w:r>
        <w:t xml:space="preserve">definitions). Vendors are encouraged to estimate household size, unit size, and deploy the current Fair Market Rent amounts for the Houston-The Woodlands-Sugar Land MSA. ESG allows for a maximum one-time payment of rental arrears not to exceed 6 months. The average length of stay for ACAM’s homelessness prevention program is approximately 3 months. </w:t>
      </w:r>
    </w:p>
    <w:p w14:paraId="578D0AF4" w14:textId="77777777" w:rsidR="00062226" w:rsidRDefault="00062226" w:rsidP="00062226">
      <w:pPr>
        <w:spacing w:before="1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2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2046"/>
      </w:tblGrid>
      <w:tr w:rsidR="00062226" w14:paraId="0BDBA998" w14:textId="77777777" w:rsidTr="00062226">
        <w:trPr>
          <w:trHeight w:hRule="exact" w:val="468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hideMark/>
          </w:tcPr>
          <w:p w14:paraId="58EA128C" w14:textId="77777777" w:rsidR="00062226" w:rsidRDefault="00062226">
            <w:pPr>
              <w:pStyle w:val="TableParagraph"/>
              <w:spacing w:before="84"/>
              <w:ind w:left="2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Categories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/>
            <w:hideMark/>
          </w:tcPr>
          <w:p w14:paraId="26D671E2" w14:textId="77777777" w:rsidR="00062226" w:rsidRDefault="00062226">
            <w:pPr>
              <w:pStyle w:val="TableParagraph"/>
              <w:spacing w:before="84"/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062226" w14:paraId="2E29024D" w14:textId="77777777" w:rsidTr="005A7DF4">
        <w:trPr>
          <w:trHeight w:hRule="exact" w:val="893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5F26E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ind w:right="172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Financial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  <w:spacing w:val="-1"/>
              </w:rPr>
              <w:t>Assistance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1"/>
              </w:rPr>
              <w:t>(*does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/>
              </w:rPr>
              <w:t>not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  <w:spacing w:val="-1"/>
              </w:rPr>
              <w:t>include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1"/>
              </w:rPr>
              <w:t>current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1"/>
              </w:rPr>
              <w:t>rental</w:t>
            </w:r>
            <w:r>
              <w:rPr>
                <w:rFonts w:eastAsia="Times New Roman"/>
                <w:spacing w:val="63"/>
              </w:rPr>
              <w:t xml:space="preserve"> </w:t>
            </w:r>
            <w:r>
              <w:rPr>
                <w:rFonts w:eastAsia="Times New Roman"/>
                <w:spacing w:val="-1"/>
              </w:rPr>
              <w:t>assistance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/>
                <w:spacing w:val="-1"/>
              </w:rPr>
              <w:t>payments)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322101" w14:textId="77777777" w:rsidR="00062226" w:rsidRDefault="00062226"/>
        </w:tc>
      </w:tr>
      <w:tr w:rsidR="00062226" w14:paraId="44EC1B7B" w14:textId="77777777" w:rsidTr="005A7DF4">
        <w:trPr>
          <w:trHeight w:hRule="exact" w:val="965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9FCC4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spacing w:line="232" w:lineRule="auto"/>
              <w:ind w:right="368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Housing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</w:rPr>
              <w:t>Services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1"/>
              </w:rPr>
              <w:t>(Housing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</w:rPr>
              <w:t>Search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</w:rPr>
              <w:t>&amp;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1"/>
              </w:rPr>
              <w:t>Placement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  <w:spacing w:val="41"/>
              </w:rPr>
              <w:t xml:space="preserve"> </w:t>
            </w:r>
            <w:r>
              <w:rPr>
                <w:rFonts w:eastAsia="Times New Roman"/>
                <w:spacing w:val="-1"/>
              </w:rPr>
              <w:t>Housing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1"/>
              </w:rPr>
              <w:t>Stability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</w:rPr>
              <w:t>Case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1"/>
              </w:rPr>
              <w:t>Management)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72DF45" w14:textId="77777777" w:rsidR="00062226" w:rsidRDefault="00062226"/>
        </w:tc>
      </w:tr>
      <w:tr w:rsidR="00062226" w14:paraId="2C615D08" w14:textId="77777777" w:rsidTr="00062226">
        <w:trPr>
          <w:trHeight w:hRule="exact" w:val="343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7071D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spacing w:before="63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lastRenderedPageBreak/>
              <w:t>Tenant-based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/>
                <w:spacing w:val="-1"/>
              </w:rPr>
              <w:t>rental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1"/>
              </w:rPr>
              <w:t>assistance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08BDAD" w14:textId="77777777" w:rsidR="00062226" w:rsidRDefault="00062226"/>
        </w:tc>
      </w:tr>
      <w:tr w:rsidR="00062226" w14:paraId="6C2BE78C" w14:textId="77777777" w:rsidTr="005A7DF4">
        <w:trPr>
          <w:trHeight w:hRule="exact" w:val="740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AC4D0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ind w:right="228"/>
              <w:rPr>
                <w:rFonts w:eastAsia="Times New Roman"/>
              </w:rPr>
            </w:pPr>
            <w:r>
              <w:rPr>
                <w:rFonts w:eastAsia="Times New Roman"/>
              </w:rPr>
              <w:t>Homeless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1"/>
              </w:rPr>
              <w:t>Management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1"/>
              </w:rPr>
              <w:t>Information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1"/>
              </w:rPr>
              <w:t>Systems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-1"/>
              </w:rPr>
              <w:t>related</w:t>
            </w:r>
            <w:r>
              <w:rPr>
                <w:rFonts w:eastAsia="Times New Roman"/>
                <w:spacing w:val="47"/>
              </w:rPr>
              <w:t xml:space="preserve"> </w:t>
            </w:r>
            <w:r>
              <w:rPr>
                <w:rFonts w:eastAsia="Times New Roman"/>
              </w:rPr>
              <w:t>costs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9D2F4A" w14:textId="77777777" w:rsidR="00062226" w:rsidRDefault="00062226"/>
        </w:tc>
      </w:tr>
      <w:tr w:rsidR="00062226" w14:paraId="3B5CC9CA" w14:textId="77777777" w:rsidTr="00062226">
        <w:trPr>
          <w:trHeight w:hRule="exact" w:val="310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ED281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spacing w:before="33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FBE8764" w14:textId="77777777" w:rsidR="00062226" w:rsidRDefault="00062226">
            <w:pPr>
              <w:rPr>
                <w:rFonts w:ascii="Calibri" w:hAnsi="Calibri" w:cs="Calibri"/>
              </w:rPr>
            </w:pPr>
          </w:p>
        </w:tc>
      </w:tr>
      <w:tr w:rsidR="00062226" w14:paraId="24567A41" w14:textId="77777777" w:rsidTr="00062226">
        <w:trPr>
          <w:trHeight w:hRule="exact" w:val="425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628A4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spacing w:before="142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Number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1"/>
              </w:rPr>
              <w:t>People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  <w:spacing w:val="-1"/>
              </w:rPr>
              <w:t>to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 xml:space="preserve">be </w:t>
            </w:r>
            <w:r>
              <w:rPr>
                <w:rFonts w:eastAsia="Times New Roman"/>
              </w:rPr>
              <w:t>served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4208BF" w14:textId="77777777" w:rsidR="00062226" w:rsidRDefault="00062226"/>
        </w:tc>
      </w:tr>
      <w:tr w:rsidR="00062226" w14:paraId="1E777F5A" w14:textId="77777777" w:rsidTr="00062226">
        <w:trPr>
          <w:trHeight w:hRule="exact" w:val="425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CD4A0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spacing w:before="142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Average cost per person (E/F)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95BCC4" w14:textId="77777777" w:rsidR="00062226" w:rsidRDefault="00062226"/>
        </w:tc>
      </w:tr>
      <w:tr w:rsidR="00062226" w14:paraId="7FDC9D67" w14:textId="77777777" w:rsidTr="00062226">
        <w:trPr>
          <w:trHeight w:hRule="exact" w:val="425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D527F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spacing w:before="142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Estimated households to be served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32B1D2" w14:textId="77777777" w:rsidR="00062226" w:rsidRDefault="00062226"/>
        </w:tc>
      </w:tr>
      <w:tr w:rsidR="00062226" w14:paraId="1A28CA74" w14:textId="77777777" w:rsidTr="00062226">
        <w:trPr>
          <w:trHeight w:hRule="exact" w:val="425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F69A2" w14:textId="77777777" w:rsidR="00062226" w:rsidRDefault="00062226" w:rsidP="00062226">
            <w:pPr>
              <w:pStyle w:val="TableParagraph"/>
              <w:numPr>
                <w:ilvl w:val="0"/>
                <w:numId w:val="3"/>
              </w:numPr>
              <w:spacing w:before="142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Average cost per household (E/H)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D45760" w14:textId="77777777" w:rsidR="00062226" w:rsidRDefault="00062226"/>
        </w:tc>
      </w:tr>
    </w:tbl>
    <w:p w14:paraId="028976D6" w14:textId="219FE42B" w:rsidR="00062226" w:rsidRDefault="00062226" w:rsidP="00062226">
      <w:pPr>
        <w:pStyle w:val="ListParagraph"/>
      </w:pPr>
    </w:p>
    <w:p w14:paraId="0E01186C" w14:textId="5B128FB2" w:rsidR="00062226" w:rsidRDefault="00062226" w:rsidP="00062226">
      <w:pPr>
        <w:pStyle w:val="ListParagraph"/>
      </w:pPr>
    </w:p>
    <w:p w14:paraId="406BC608" w14:textId="65DC3DFF" w:rsidR="004C4DD7" w:rsidRPr="00852442" w:rsidRDefault="00852442" w:rsidP="00062226">
      <w:pPr>
        <w:pStyle w:val="ListParagraph"/>
        <w:numPr>
          <w:ilvl w:val="0"/>
          <w:numId w:val="1"/>
        </w:numPr>
        <w:rPr>
          <w:b/>
          <w:bCs/>
        </w:rPr>
      </w:pPr>
      <w:r w:rsidRPr="00852442">
        <w:rPr>
          <w:b/>
          <w:bCs/>
        </w:rPr>
        <w:t xml:space="preserve">Which line item will contain the Case Manager’s salary </w:t>
      </w:r>
      <w:r w:rsidR="00803EFE">
        <w:rPr>
          <w:b/>
          <w:bCs/>
        </w:rPr>
        <w:t>in</w:t>
      </w:r>
      <w:r w:rsidRPr="00852442">
        <w:rPr>
          <w:b/>
          <w:bCs/>
        </w:rPr>
        <w:t xml:space="preserve"> the </w:t>
      </w:r>
      <w:r w:rsidR="00062226" w:rsidRPr="00852442">
        <w:rPr>
          <w:b/>
          <w:bCs/>
        </w:rPr>
        <w:t>Budget template?</w:t>
      </w:r>
    </w:p>
    <w:p w14:paraId="1EB465F3" w14:textId="38FB864B" w:rsidR="00852442" w:rsidRDefault="00141F10" w:rsidP="00852442">
      <w:pPr>
        <w:ind w:left="360"/>
      </w:pPr>
      <w:r>
        <w:t xml:space="preserve">Housing Stability </w:t>
      </w:r>
      <w:r w:rsidR="00803EFE">
        <w:t>C</w:t>
      </w:r>
      <w:r>
        <w:t xml:space="preserve">ase </w:t>
      </w:r>
      <w:r w:rsidR="00803EFE">
        <w:t>M</w:t>
      </w:r>
      <w:r>
        <w:t xml:space="preserve">anagement can be found in the budget under B) </w:t>
      </w:r>
      <w:r w:rsidR="00803EFE">
        <w:t>H</w:t>
      </w:r>
      <w:r>
        <w:t xml:space="preserve">ousing </w:t>
      </w:r>
      <w:r w:rsidR="00803EFE">
        <w:t>S</w:t>
      </w:r>
      <w:r>
        <w:t>ervices in the budget summary in section H in the RFP (pg.7).</w:t>
      </w:r>
      <w:r w:rsidR="00852442" w:rsidRPr="00852442">
        <w:t xml:space="preserve"> Please see the link for the </w:t>
      </w:r>
      <w:r w:rsidR="00803EFE">
        <w:t>E</w:t>
      </w:r>
      <w:r w:rsidR="00852442" w:rsidRPr="00852442">
        <w:t xml:space="preserve">ligible </w:t>
      </w:r>
      <w:r w:rsidR="00803EFE">
        <w:t>U</w:t>
      </w:r>
      <w:r w:rsidR="00852442" w:rsidRPr="00852442">
        <w:t xml:space="preserve">sage on page 14 of the ACAM HP Business Rules. </w:t>
      </w:r>
    </w:p>
    <w:p w14:paraId="1F9FF884" w14:textId="77777777" w:rsidR="0025399D" w:rsidRPr="0025399D" w:rsidRDefault="0025399D" w:rsidP="0025399D">
      <w:pPr>
        <w:pStyle w:val="ListParagraph"/>
        <w:numPr>
          <w:ilvl w:val="0"/>
          <w:numId w:val="1"/>
        </w:numPr>
        <w:rPr>
          <w:b/>
          <w:bCs/>
        </w:rPr>
      </w:pPr>
      <w:r w:rsidRPr="0025399D">
        <w:rPr>
          <w:b/>
          <w:bCs/>
        </w:rPr>
        <w:t>For Financial Assistance budget line item, can staff salaries be included, as well as the usual arrears, deposits, fees, utilities?</w:t>
      </w:r>
    </w:p>
    <w:p w14:paraId="570DA662" w14:textId="7B7B6161" w:rsidR="0025399D" w:rsidRDefault="0025399D" w:rsidP="0025399D">
      <w:pPr>
        <w:ind w:left="360"/>
      </w:pPr>
      <w:r>
        <w:t xml:space="preserve">Please see the link for the eligible usage for Financial Assistance on page 14 of the ACAM HP Business Rules. </w:t>
      </w:r>
    </w:p>
    <w:p w14:paraId="65AE4C8C" w14:textId="78CAB6E3" w:rsidR="0025399D" w:rsidRDefault="0025399D" w:rsidP="0025399D">
      <w:pPr>
        <w:pStyle w:val="ListParagraph"/>
        <w:numPr>
          <w:ilvl w:val="0"/>
          <w:numId w:val="1"/>
        </w:numPr>
        <w:rPr>
          <w:b/>
          <w:bCs/>
        </w:rPr>
      </w:pPr>
      <w:r w:rsidRPr="0025399D">
        <w:rPr>
          <w:b/>
          <w:bCs/>
        </w:rPr>
        <w:t>Can we add a line item for salaries?</w:t>
      </w:r>
    </w:p>
    <w:p w14:paraId="13D726A4" w14:textId="28701520" w:rsidR="0025399D" w:rsidRPr="0025399D" w:rsidRDefault="0025399D" w:rsidP="0025399D">
      <w:pPr>
        <w:ind w:left="360"/>
        <w:rPr>
          <w:b/>
          <w:bCs/>
        </w:rPr>
      </w:pPr>
      <w:r>
        <w:t xml:space="preserve">Please complete the Budget Table in Section H of the RFP. </w:t>
      </w:r>
      <w:r w:rsidRPr="0025399D">
        <w:t>Please see the link for the ESG E</w:t>
      </w:r>
      <w:r>
        <w:t xml:space="preserve">ligible </w:t>
      </w:r>
      <w:r w:rsidRPr="0025399D">
        <w:t>U</w:t>
      </w:r>
      <w:r>
        <w:t>sage on page</w:t>
      </w:r>
      <w:r w:rsidRPr="0025399D">
        <w:t xml:space="preserve"> 14 of the ACAM HP Business Rules.</w:t>
      </w:r>
      <w:r w:rsidR="005A7DF4">
        <w:t xml:space="preserve"> Detailed descriptions of the proposed expenditures may be included in the budget narrative.</w:t>
      </w:r>
    </w:p>
    <w:p w14:paraId="2FF5055B" w14:textId="5675F01A" w:rsidR="00CE2A68" w:rsidRPr="00B6576B" w:rsidRDefault="00B6576B" w:rsidP="00B6576B">
      <w:pPr>
        <w:pStyle w:val="ListParagraph"/>
        <w:numPr>
          <w:ilvl w:val="0"/>
          <w:numId w:val="1"/>
        </w:numPr>
        <w:rPr>
          <w:b/>
          <w:bCs/>
        </w:rPr>
      </w:pPr>
      <w:r w:rsidRPr="00B6576B">
        <w:rPr>
          <w:b/>
          <w:bCs/>
        </w:rPr>
        <w:t>What is the total number of additional vendors ACAM is looking for with ESG 12 CARES RFP?</w:t>
      </w:r>
    </w:p>
    <w:p w14:paraId="399F41D2" w14:textId="360E42A8" w:rsidR="00F56800" w:rsidRDefault="00F56800" w:rsidP="00B6576B">
      <w:pPr>
        <w:ind w:left="360"/>
      </w:pPr>
      <w:r>
        <w:t>Alliance of Community Assistance Ministries, Inc. seeks vendor(s) to provide homelessness prevention services to families at imminent risk of homelessness.</w:t>
      </w:r>
    </w:p>
    <w:p w14:paraId="4C7A95A1" w14:textId="161616F5" w:rsidR="00410523" w:rsidRPr="00AB5C8A" w:rsidRDefault="00AB5C8A" w:rsidP="00AB5C8A">
      <w:pPr>
        <w:pStyle w:val="ListParagraph"/>
        <w:numPr>
          <w:ilvl w:val="0"/>
          <w:numId w:val="1"/>
        </w:numPr>
        <w:rPr>
          <w:b/>
          <w:bCs/>
        </w:rPr>
      </w:pPr>
      <w:r w:rsidRPr="00AB5C8A">
        <w:rPr>
          <w:b/>
          <w:bCs/>
        </w:rPr>
        <w:t xml:space="preserve">For </w:t>
      </w:r>
      <w:r w:rsidR="00410523" w:rsidRPr="00AB5C8A">
        <w:rPr>
          <w:b/>
          <w:bCs/>
        </w:rPr>
        <w:t>The subpopulations listed on page 4</w:t>
      </w:r>
      <w:r w:rsidRPr="00AB5C8A">
        <w:rPr>
          <w:b/>
          <w:bCs/>
        </w:rPr>
        <w:t xml:space="preserve"> on the RFP, ar</w:t>
      </w:r>
      <w:r w:rsidR="00410523" w:rsidRPr="00AB5C8A">
        <w:rPr>
          <w:b/>
          <w:bCs/>
        </w:rPr>
        <w:t xml:space="preserve">e those the only populations we can serve? </w:t>
      </w:r>
    </w:p>
    <w:p w14:paraId="15CB1C28" w14:textId="37397BEE" w:rsidR="00410523" w:rsidRDefault="00410523" w:rsidP="005A7DF4">
      <w:pPr>
        <w:ind w:left="360"/>
      </w:pPr>
      <w:r>
        <w:t xml:space="preserve">Special population is counted per person and not per household. </w:t>
      </w:r>
      <w:r w:rsidR="005A7DF4">
        <w:t>Those classified in one or more subpopulations are not the only people who can be served.</w:t>
      </w:r>
    </w:p>
    <w:p w14:paraId="2C03D5C4" w14:textId="3070E5FE" w:rsidR="00410523" w:rsidRPr="00893204" w:rsidRDefault="00410523" w:rsidP="00893204">
      <w:pPr>
        <w:pStyle w:val="ListParagraph"/>
        <w:numPr>
          <w:ilvl w:val="0"/>
          <w:numId w:val="1"/>
        </w:numPr>
        <w:rPr>
          <w:b/>
          <w:bCs/>
        </w:rPr>
      </w:pPr>
      <w:r w:rsidRPr="00893204">
        <w:rPr>
          <w:b/>
          <w:bCs/>
        </w:rPr>
        <w:t xml:space="preserve">For 90-day working capital you have listed bank statements. Can we use </w:t>
      </w:r>
      <w:r w:rsidR="00893204" w:rsidRPr="00893204">
        <w:rPr>
          <w:b/>
          <w:bCs/>
        </w:rPr>
        <w:t>an</w:t>
      </w:r>
      <w:r w:rsidRPr="00893204">
        <w:rPr>
          <w:b/>
          <w:bCs/>
        </w:rPr>
        <w:t xml:space="preserve"> open line of credit letter from the bank?</w:t>
      </w:r>
    </w:p>
    <w:p w14:paraId="75CF1B08" w14:textId="2260BA6A" w:rsidR="00410523" w:rsidRDefault="005A7DF4" w:rsidP="00893204">
      <w:pPr>
        <w:ind w:firstLine="360"/>
      </w:pPr>
      <w:r>
        <w:t>You</w:t>
      </w:r>
      <w:r w:rsidR="00893204">
        <w:t xml:space="preserve"> may submit an open line of credit letter from the bank</w:t>
      </w:r>
      <w:r>
        <w:t xml:space="preserve"> in addition to bank statements</w:t>
      </w:r>
      <w:r w:rsidR="00893204">
        <w:t xml:space="preserve">. </w:t>
      </w:r>
    </w:p>
    <w:sectPr w:rsidR="004105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2846" w14:textId="77777777" w:rsidR="00883484" w:rsidRDefault="00883484" w:rsidP="00883484">
      <w:pPr>
        <w:spacing w:after="0" w:line="240" w:lineRule="auto"/>
      </w:pPr>
      <w:r>
        <w:separator/>
      </w:r>
    </w:p>
  </w:endnote>
  <w:endnote w:type="continuationSeparator" w:id="0">
    <w:p w14:paraId="2ECC79C1" w14:textId="77777777" w:rsidR="00883484" w:rsidRDefault="00883484" w:rsidP="0088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76BE" w14:textId="77777777" w:rsidR="00883484" w:rsidRDefault="00883484" w:rsidP="00883484">
      <w:pPr>
        <w:spacing w:after="0" w:line="240" w:lineRule="auto"/>
      </w:pPr>
      <w:r>
        <w:separator/>
      </w:r>
    </w:p>
  </w:footnote>
  <w:footnote w:type="continuationSeparator" w:id="0">
    <w:p w14:paraId="1A9BEC24" w14:textId="77777777" w:rsidR="00883484" w:rsidRDefault="00883484" w:rsidP="0088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BB8D" w14:textId="77777777" w:rsidR="00515453" w:rsidRDefault="00515453" w:rsidP="00515453">
    <w:pPr>
      <w:pStyle w:val="Header"/>
      <w:jc w:val="center"/>
    </w:pPr>
    <w:r>
      <w:t>ACAM RFP Homelessness Prevention Service Provider(s) (RFP No. ESG 12 CARES 2021-22)</w:t>
    </w:r>
  </w:p>
  <w:p w14:paraId="28A7AA4B" w14:textId="7B4B965C" w:rsidR="00883484" w:rsidRDefault="00515453" w:rsidP="00515453">
    <w:pPr>
      <w:pStyle w:val="Header"/>
      <w:jc w:val="center"/>
    </w:pPr>
    <w:r>
      <w:t>Answers to Questions</w:t>
    </w:r>
  </w:p>
  <w:p w14:paraId="54D7B98B" w14:textId="469272D1" w:rsidR="00515453" w:rsidRPr="00515453" w:rsidRDefault="00515453" w:rsidP="00515453">
    <w:pPr>
      <w:pStyle w:val="Header"/>
      <w:jc w:val="center"/>
    </w:pPr>
    <w:r>
      <w:t>Posted 8/2/21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352"/>
    <w:multiLevelType w:val="hybridMultilevel"/>
    <w:tmpl w:val="83D631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68DF"/>
    <w:multiLevelType w:val="hybridMultilevel"/>
    <w:tmpl w:val="3A0C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771"/>
    <w:multiLevelType w:val="hybridMultilevel"/>
    <w:tmpl w:val="75BC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2F6F"/>
    <w:multiLevelType w:val="hybridMultilevel"/>
    <w:tmpl w:val="D07A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184DE3"/>
    <w:multiLevelType w:val="hybridMultilevel"/>
    <w:tmpl w:val="EA6E00C8"/>
    <w:lvl w:ilvl="0" w:tplc="10388514">
      <w:start w:val="8"/>
      <w:numFmt w:val="upperLetter"/>
      <w:lvlText w:val="%1."/>
      <w:lvlJc w:val="left"/>
      <w:pPr>
        <w:ind w:left="1980" w:hanging="360"/>
      </w:pPr>
      <w:rPr>
        <w:rFonts w:cs="Times New Roman"/>
        <w:w w:val="85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A7D2CB0"/>
    <w:multiLevelType w:val="hybridMultilevel"/>
    <w:tmpl w:val="B49AEA1C"/>
    <w:lvl w:ilvl="0" w:tplc="D18098E2">
      <w:start w:val="1"/>
      <w:numFmt w:val="upperLetter"/>
      <w:lvlText w:val="%1."/>
      <w:lvlJc w:val="left"/>
      <w:pPr>
        <w:ind w:left="1273" w:hanging="360"/>
      </w:pPr>
      <w:rPr>
        <w:rFonts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993" w:hanging="360"/>
      </w:pPr>
    </w:lvl>
    <w:lvl w:ilvl="2" w:tplc="0409001B">
      <w:start w:val="1"/>
      <w:numFmt w:val="lowerRoman"/>
      <w:lvlText w:val="%3."/>
      <w:lvlJc w:val="right"/>
      <w:pPr>
        <w:ind w:left="2713" w:hanging="180"/>
      </w:pPr>
    </w:lvl>
    <w:lvl w:ilvl="3" w:tplc="0409000F">
      <w:start w:val="1"/>
      <w:numFmt w:val="decimal"/>
      <w:lvlText w:val="%4."/>
      <w:lvlJc w:val="left"/>
      <w:pPr>
        <w:ind w:left="3433" w:hanging="360"/>
      </w:pPr>
    </w:lvl>
    <w:lvl w:ilvl="4" w:tplc="04090019">
      <w:start w:val="1"/>
      <w:numFmt w:val="lowerLetter"/>
      <w:lvlText w:val="%5."/>
      <w:lvlJc w:val="left"/>
      <w:pPr>
        <w:ind w:left="4153" w:hanging="360"/>
      </w:pPr>
    </w:lvl>
    <w:lvl w:ilvl="5" w:tplc="0409001B">
      <w:start w:val="1"/>
      <w:numFmt w:val="lowerRoman"/>
      <w:lvlText w:val="%6."/>
      <w:lvlJc w:val="right"/>
      <w:pPr>
        <w:ind w:left="4873" w:hanging="180"/>
      </w:pPr>
    </w:lvl>
    <w:lvl w:ilvl="6" w:tplc="0409000F">
      <w:start w:val="1"/>
      <w:numFmt w:val="decimal"/>
      <w:lvlText w:val="%7."/>
      <w:lvlJc w:val="left"/>
      <w:pPr>
        <w:ind w:left="5593" w:hanging="360"/>
      </w:pPr>
    </w:lvl>
    <w:lvl w:ilvl="7" w:tplc="04090019">
      <w:start w:val="1"/>
      <w:numFmt w:val="lowerLetter"/>
      <w:lvlText w:val="%8."/>
      <w:lvlJc w:val="left"/>
      <w:pPr>
        <w:ind w:left="6313" w:hanging="360"/>
      </w:pPr>
    </w:lvl>
    <w:lvl w:ilvl="8" w:tplc="0409001B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1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4"/>
    <w:rsid w:val="000475B9"/>
    <w:rsid w:val="00062226"/>
    <w:rsid w:val="00141F10"/>
    <w:rsid w:val="001534F4"/>
    <w:rsid w:val="002275E7"/>
    <w:rsid w:val="0025399D"/>
    <w:rsid w:val="003A70E7"/>
    <w:rsid w:val="00410523"/>
    <w:rsid w:val="004C4DD7"/>
    <w:rsid w:val="00515453"/>
    <w:rsid w:val="005A7DF4"/>
    <w:rsid w:val="00604D3E"/>
    <w:rsid w:val="0073487E"/>
    <w:rsid w:val="00803EFE"/>
    <w:rsid w:val="00852442"/>
    <w:rsid w:val="00883484"/>
    <w:rsid w:val="00893204"/>
    <w:rsid w:val="009123C6"/>
    <w:rsid w:val="0094254D"/>
    <w:rsid w:val="009C063B"/>
    <w:rsid w:val="00AB5C8A"/>
    <w:rsid w:val="00B6576B"/>
    <w:rsid w:val="00C336F6"/>
    <w:rsid w:val="00C46CE0"/>
    <w:rsid w:val="00C56869"/>
    <w:rsid w:val="00CE2A68"/>
    <w:rsid w:val="00EF138A"/>
    <w:rsid w:val="00F31348"/>
    <w:rsid w:val="00F56800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2362"/>
  <w15:chartTrackingRefBased/>
  <w15:docId w15:val="{F2B79B2B-9A06-44F1-8A5D-04C34DC9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84"/>
  </w:style>
  <w:style w:type="paragraph" w:styleId="Footer">
    <w:name w:val="footer"/>
    <w:basedOn w:val="Normal"/>
    <w:link w:val="FooterChar"/>
    <w:uiPriority w:val="99"/>
    <w:unhideWhenUsed/>
    <w:rsid w:val="0088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84"/>
  </w:style>
  <w:style w:type="paragraph" w:styleId="ListParagraph">
    <w:name w:val="List Paragraph"/>
    <w:basedOn w:val="Normal"/>
    <w:uiPriority w:val="34"/>
    <w:qFormat/>
    <w:rsid w:val="008834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62226"/>
    <w:pPr>
      <w:spacing w:after="0" w:line="240" w:lineRule="auto"/>
      <w:ind w:left="126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6222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062226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15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mweb.org/funding-vendor-opportun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Malcolm, ACAM, HEP Coordinator</dc:creator>
  <cp:keywords/>
  <dc:description/>
  <cp:lastModifiedBy>Sarah Malcolm, ACAM, HEP Coordinator</cp:lastModifiedBy>
  <cp:revision>4</cp:revision>
  <dcterms:created xsi:type="dcterms:W3CDTF">2021-08-02T19:47:00Z</dcterms:created>
  <dcterms:modified xsi:type="dcterms:W3CDTF">2021-08-03T02:29:00Z</dcterms:modified>
</cp:coreProperties>
</file>